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Lines="0" w:afterLines="0" w:line="580" w:lineRule="exact"/>
        <w:ind w:left="0" w:leftChars="0" w:firstLine="0" w:firstLineChars="0"/>
        <w:jc w:val="center"/>
        <w:textAlignment w:val="auto"/>
        <w:rPr>
          <w:rFonts w:hint="eastAsia" w:ascii="方正小标宋简体" w:hAnsi="方正小标宋简体" w:eastAsia="方正小标宋简体" w:cs="方正小标宋简体"/>
          <w:b w:val="0"/>
          <w:bCs/>
          <w:color w:val="auto"/>
          <w:sz w:val="44"/>
          <w:szCs w:val="44"/>
          <w:lang w:val="en-US" w:eastAsia="zh-CN"/>
        </w:rPr>
      </w:pPr>
    </w:p>
    <w:p>
      <w:pPr>
        <w:keepNext w:val="0"/>
        <w:keepLines w:val="0"/>
        <w:pageBreakBefore w:val="0"/>
        <w:widowControl/>
        <w:kinsoku/>
        <w:wordWrap/>
        <w:overflowPunct/>
        <w:topLinePunct w:val="0"/>
        <w:autoSpaceDE/>
        <w:autoSpaceDN/>
        <w:bidi w:val="0"/>
        <w:adjustRightInd/>
        <w:snapToGrid/>
        <w:spacing w:beforeLines="0" w:afterLines="0" w:line="540" w:lineRule="exact"/>
        <w:ind w:left="0" w:leftChars="0" w:firstLine="0" w:firstLineChars="0"/>
        <w:jc w:val="center"/>
        <w:textAlignment w:val="auto"/>
        <w:rPr>
          <w:rFonts w:hint="default" w:ascii="方正小标宋简体" w:hAnsi="方正小标宋简体" w:eastAsia="方正小标宋简体" w:cs="方正小标宋简体"/>
          <w:b w:val="0"/>
          <w:bCs/>
          <w:color w:val="auto"/>
          <w:sz w:val="44"/>
          <w:szCs w:val="44"/>
          <w:lang w:val="en-US" w:eastAsia="zh-CN"/>
        </w:rPr>
      </w:pPr>
      <w:r>
        <w:rPr>
          <w:rFonts w:hint="eastAsia" w:ascii="方正小标宋简体" w:hAnsi="方正小标宋简体" w:eastAsia="方正小标宋简体" w:cs="方正小标宋简体"/>
          <w:b w:val="0"/>
          <w:bCs/>
          <w:color w:val="auto"/>
          <w:w w:val="95"/>
          <w:sz w:val="44"/>
          <w:szCs w:val="44"/>
          <w:lang w:val="en-US" w:eastAsia="zh-CN"/>
        </w:rPr>
        <w:t>《</w:t>
      </w:r>
      <w:r>
        <w:rPr>
          <w:rFonts w:hint="eastAsia" w:ascii="方正小标宋简体" w:hAnsi="方正小标宋简体" w:eastAsia="方正小标宋简体" w:cs="方正小标宋简体"/>
          <w:b w:val="0"/>
          <w:bCs/>
          <w:color w:val="auto"/>
          <w:w w:val="95"/>
          <w:sz w:val="44"/>
          <w:szCs w:val="44"/>
          <w:lang w:val="zh-CN"/>
        </w:rPr>
        <w:t>芜湖市深化科技创新体制机制改革加快科技成果转化应用体系建设行动实施方案（试行）</w:t>
      </w:r>
      <w:r>
        <w:rPr>
          <w:rFonts w:hint="eastAsia" w:ascii="方正小标宋简体" w:hAnsi="方正小标宋简体" w:eastAsia="方正小标宋简体" w:cs="方正小标宋简体"/>
          <w:b w:val="0"/>
          <w:bCs/>
          <w:color w:val="auto"/>
          <w:w w:val="95"/>
          <w:sz w:val="44"/>
          <w:szCs w:val="44"/>
          <w:lang w:val="en-US" w:eastAsia="zh-CN"/>
        </w:rPr>
        <w:t>》</w:t>
      </w:r>
      <w:r>
        <w:rPr>
          <w:rFonts w:hint="eastAsia" w:ascii="方正小标宋简体" w:hAnsi="方正小标宋简体" w:eastAsia="方正小标宋简体" w:cs="方正小标宋简体"/>
          <w:b w:val="0"/>
          <w:bCs/>
          <w:color w:val="auto"/>
          <w:sz w:val="44"/>
          <w:szCs w:val="44"/>
          <w:lang w:val="en-US" w:eastAsia="zh-CN"/>
        </w:rPr>
        <w:t>（征求意见稿）起草说明</w:t>
      </w:r>
    </w:p>
    <w:p>
      <w:pPr>
        <w:keepNext w:val="0"/>
        <w:keepLines w:val="0"/>
        <w:pageBreakBefore w:val="0"/>
        <w:widowControl/>
        <w:kinsoku/>
        <w:wordWrap/>
        <w:overflowPunct/>
        <w:topLinePunct w:val="0"/>
        <w:autoSpaceDE/>
        <w:autoSpaceDN/>
        <w:bidi w:val="0"/>
        <w:adjustRightInd/>
        <w:snapToGrid/>
        <w:spacing w:beforeLines="0" w:afterLines="0" w:line="540" w:lineRule="exact"/>
        <w:ind w:left="0" w:leftChars="0" w:firstLine="0" w:firstLineChars="0"/>
        <w:jc w:val="center"/>
        <w:textAlignment w:val="auto"/>
        <w:rPr>
          <w:rFonts w:hint="eastAsia" w:ascii="楷体_GB2312" w:hAnsi="楷体_GB2312" w:eastAsia="楷体_GB2312" w:cs="楷体_GB2312"/>
          <w:b w:val="0"/>
          <w:bCs/>
          <w:color w:val="auto"/>
          <w:sz w:val="32"/>
          <w:szCs w:val="32"/>
          <w:lang w:val="en-US" w:eastAsia="zh-CN"/>
        </w:rPr>
      </w:pPr>
    </w:p>
    <w:p>
      <w:pPr>
        <w:keepNext w:val="0"/>
        <w:keepLines w:val="0"/>
        <w:pageBreakBefore w:val="0"/>
        <w:widowControl/>
        <w:kinsoku/>
        <w:wordWrap/>
        <w:overflowPunct/>
        <w:topLinePunct w:val="0"/>
        <w:autoSpaceDE/>
        <w:autoSpaceDN/>
        <w:bidi w:val="0"/>
        <w:adjustRightInd/>
        <w:snapToGrid/>
        <w:spacing w:beforeLines="0" w:afterLines="0" w:line="540" w:lineRule="exact"/>
        <w:ind w:left="0" w:leftChars="0" w:firstLine="0" w:firstLineChars="0"/>
        <w:jc w:val="center"/>
        <w:textAlignment w:val="auto"/>
        <w:rPr>
          <w:rFonts w:hint="eastAsia" w:ascii="楷体_GB2312" w:hAnsi="楷体_GB2312" w:eastAsia="楷体_GB2312" w:cs="楷体_GB2312"/>
          <w:b w:val="0"/>
          <w:bCs/>
          <w:color w:val="auto"/>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28"/>
          <w:lang w:eastAsia="zh-CN"/>
        </w:rPr>
      </w:pPr>
      <w:r>
        <w:rPr>
          <w:rFonts w:hint="eastAsia" w:ascii="黑体" w:hAnsi="黑体" w:eastAsia="黑体" w:cs="黑体"/>
          <w:color w:val="auto"/>
          <w:sz w:val="32"/>
          <w:szCs w:val="28"/>
        </w:rPr>
        <w:t>一、起草背景</w:t>
      </w:r>
      <w:r>
        <w:rPr>
          <w:rFonts w:hint="eastAsia" w:ascii="黑体" w:hAnsi="黑体" w:eastAsia="黑体" w:cs="黑体"/>
          <w:color w:val="auto"/>
          <w:sz w:val="32"/>
          <w:szCs w:val="28"/>
          <w:lang w:eastAsia="zh-CN"/>
        </w:rPr>
        <w:t>和</w:t>
      </w:r>
      <w:r>
        <w:rPr>
          <w:rFonts w:hint="eastAsia" w:ascii="黑体" w:hAnsi="黑体" w:eastAsia="黑体" w:cs="黑体"/>
          <w:color w:val="auto"/>
          <w:sz w:val="32"/>
          <w:szCs w:val="28"/>
        </w:rPr>
        <w:t>过程</w:t>
      </w:r>
    </w:p>
    <w:p>
      <w:pPr>
        <w:keepNext w:val="0"/>
        <w:keepLines w:val="0"/>
        <w:pageBreakBefore w:val="0"/>
        <w:widowControl/>
        <w:kinsoku/>
        <w:wordWrap/>
        <w:overflowPunct/>
        <w:topLinePunct w:val="0"/>
        <w:autoSpaceDE/>
        <w:autoSpaceDN/>
        <w:bidi w:val="0"/>
        <w:adjustRightInd/>
        <w:snapToGrid/>
        <w:spacing w:beforeLines="0" w:afterLines="0" w:line="540" w:lineRule="exact"/>
        <w:ind w:left="0" w:leftChars="0" w:firstLine="640" w:firstLineChars="200"/>
        <w:jc w:val="both"/>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今年6月，省政府印发了《深化科技创新体制机制改</w:t>
      </w:r>
      <w:bookmarkStart w:id="0" w:name="_GoBack"/>
      <w:bookmarkEnd w:id="0"/>
      <w:r>
        <w:rPr>
          <w:rFonts w:hint="eastAsia" w:ascii="仿宋_GB2312" w:hAnsi="仿宋_GB2312" w:eastAsia="仿宋_GB2312" w:cs="仿宋_GB2312"/>
          <w:b w:val="0"/>
          <w:bCs/>
          <w:color w:val="auto"/>
          <w:sz w:val="32"/>
          <w:szCs w:val="32"/>
          <w:lang w:val="en-US" w:eastAsia="zh-CN"/>
        </w:rPr>
        <w:t>革加快科技成果转化应用体系建设行动方案的通知》（皖政〔2022〕64号），要求各地市出台贯彻意见抓好贯彻落实。</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 xml:space="preserve">根据市领导要求，市科技局及时成立起草队伍，按照省方案精神，结合芜湖市工作实际，重点参照借鉴了合肥、南京、杭州等先进地区经验做法以及“科大硅谷”等政策内容，开展我市《实施方案》起草工作。通过印发征求意见函、召开征求意见座谈会等方式，征求了相关市直单位，各县市区、开发区，高校、技术转移机构、企业、科技企业孵化器、社会资本、研发平台等意见，根据反馈意见，进一步修改完善了《实施方案》。    </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rPr>
        <w:t>、主要内容</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实施方案</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主要</w:t>
      </w:r>
      <w:r>
        <w:rPr>
          <w:rFonts w:hint="eastAsia" w:ascii="仿宋_GB2312" w:hAnsi="仿宋_GB2312" w:eastAsia="仿宋_GB2312" w:cs="仿宋_GB2312"/>
          <w:color w:val="auto"/>
          <w:sz w:val="32"/>
          <w:szCs w:val="32"/>
        </w:rPr>
        <w:t>包括</w:t>
      </w:r>
      <w:r>
        <w:rPr>
          <w:rFonts w:hint="eastAsia" w:ascii="仿宋_GB2312" w:hAnsi="仿宋_GB2312" w:eastAsia="仿宋_GB2312" w:cs="仿宋_GB2312"/>
          <w:color w:val="auto"/>
          <w:sz w:val="32"/>
          <w:szCs w:val="32"/>
          <w:lang w:val="en-US" w:eastAsia="zh-CN"/>
        </w:rPr>
        <w:t>四个部分。</w:t>
      </w:r>
    </w:p>
    <w:p>
      <w:pPr>
        <w:keepNext w:val="0"/>
        <w:keepLines w:val="0"/>
        <w:pageBreakBefore w:val="0"/>
        <w:widowControl/>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第一部分总体思路。</w:t>
      </w:r>
      <w:r>
        <w:rPr>
          <w:rFonts w:hint="eastAsia" w:ascii="仿宋_GB2312" w:hAnsi="仿宋_GB2312" w:eastAsia="仿宋_GB2312" w:cs="仿宋_GB2312"/>
          <w:color w:val="auto"/>
          <w:sz w:val="32"/>
          <w:szCs w:val="32"/>
          <w:lang w:val="en-US" w:eastAsia="zh-CN"/>
        </w:rPr>
        <w:t>坚持以企业为主体、需求为牵引、产业化为目的，围绕主导产业推动成果转化、培育未来增长点。</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32" w:line="54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第二部分主要目标。</w:t>
      </w:r>
      <w:r>
        <w:rPr>
          <w:rFonts w:hint="eastAsia" w:ascii="仿宋_GB2312" w:hAnsi="仿宋_GB2312" w:eastAsia="仿宋_GB2312" w:cs="仿宋_GB2312"/>
          <w:color w:val="auto"/>
          <w:kern w:val="2"/>
          <w:sz w:val="32"/>
          <w:szCs w:val="32"/>
          <w:highlight w:val="none"/>
          <w:u w:val="none"/>
          <w:shd w:val="clear" w:fill="FFFFFF"/>
          <w:lang w:val="en-US" w:eastAsia="zh-CN" w:bidi="ar-SA"/>
        </w:rPr>
        <w:t>到2025年，科技成果转化应用体系更加高效完备，科技创新对产业高质量发展的支撑引领作用更加凸显，综合创新能力和成果转化应用水平跻身长三角城市前列。</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第三部分行动计划。</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kern w:val="2"/>
          <w:sz w:val="32"/>
          <w:szCs w:val="32"/>
          <w:highlight w:val="none"/>
          <w:u w:val="none"/>
          <w:shd w:val="clear" w:fill="FFFFFF"/>
          <w:lang w:val="en-US" w:eastAsia="zh-CN" w:bidi="ar-SA"/>
        </w:rPr>
      </w:pPr>
      <w:r>
        <w:rPr>
          <w:rFonts w:hint="eastAsia" w:ascii="仿宋_GB2312" w:hAnsi="仿宋_GB2312" w:eastAsia="仿宋_GB2312" w:cs="仿宋_GB2312"/>
          <w:color w:val="auto"/>
          <w:kern w:val="2"/>
          <w:sz w:val="32"/>
          <w:szCs w:val="32"/>
          <w:highlight w:val="none"/>
          <w:u w:val="none"/>
          <w:shd w:val="clear" w:fill="FFFFFF"/>
          <w:lang w:val="en-US" w:eastAsia="zh-CN" w:bidi="ar-SA"/>
        </w:rPr>
        <w:t>实施四大行动：</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b/>
          <w:bCs/>
          <w:color w:val="auto"/>
          <w:kern w:val="2"/>
          <w:sz w:val="32"/>
          <w:szCs w:val="32"/>
          <w:highlight w:val="none"/>
          <w:u w:val="none"/>
          <w:shd w:val="clear" w:fill="FFFFFF"/>
          <w:lang w:val="en-US" w:eastAsia="zh-CN" w:bidi="ar-SA"/>
        </w:rPr>
      </w:pPr>
      <w:r>
        <w:rPr>
          <w:rFonts w:hint="eastAsia" w:ascii="仿宋_GB2312" w:hAnsi="仿宋_GB2312" w:eastAsia="仿宋_GB2312" w:cs="仿宋_GB2312"/>
          <w:b/>
          <w:bCs/>
          <w:color w:val="auto"/>
          <w:kern w:val="2"/>
          <w:sz w:val="32"/>
          <w:szCs w:val="32"/>
          <w:highlight w:val="none"/>
          <w:u w:val="none"/>
          <w:shd w:val="clear" w:fill="FFFFFF"/>
          <w:lang w:val="en-US" w:eastAsia="zh-CN" w:bidi="ar-SA"/>
        </w:rPr>
        <w:t>一是发挥领军企业作用，实施企业科技成果转化行动。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kern w:val="2"/>
          <w:sz w:val="32"/>
          <w:szCs w:val="32"/>
          <w:highlight w:val="none"/>
          <w:u w:val="none"/>
          <w:shd w:val="clear" w:fill="FFFFFF"/>
          <w:lang w:val="en-US" w:eastAsia="zh-CN" w:bidi="ar-SA"/>
        </w:rPr>
      </w:pPr>
      <w:r>
        <w:rPr>
          <w:rFonts w:hint="eastAsia" w:ascii="仿宋_GB2312" w:hAnsi="仿宋_GB2312" w:eastAsia="仿宋_GB2312" w:cs="仿宋_GB2312"/>
          <w:color w:val="auto"/>
          <w:kern w:val="2"/>
          <w:sz w:val="32"/>
          <w:szCs w:val="32"/>
          <w:highlight w:val="none"/>
          <w:u w:val="none"/>
          <w:shd w:val="clear" w:fill="FFFFFF"/>
          <w:lang w:val="en-US" w:eastAsia="zh-CN" w:bidi="ar-SA"/>
        </w:rPr>
        <w:t>1.建立科技型企业链式培育机制。实施科技型中小企业和高新技术企业倍增行动、“专精特新”企业培育行动，支持产业链领军企业直接投资或设立产业链成果转化基金投资在芜落地的产业链上下游初创期科技企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b/>
          <w:bCs/>
          <w:color w:val="auto"/>
          <w:kern w:val="2"/>
          <w:sz w:val="32"/>
          <w:szCs w:val="32"/>
          <w:highlight w:val="none"/>
          <w:u w:val="none"/>
          <w:shd w:val="clear" w:fill="FFFFFF"/>
          <w:lang w:val="en-US" w:eastAsia="zh-CN" w:bidi="ar-SA"/>
        </w:rPr>
      </w:pPr>
      <w:r>
        <w:rPr>
          <w:rFonts w:hint="eastAsia" w:ascii="仿宋_GB2312" w:hAnsi="仿宋_GB2312" w:eastAsia="仿宋_GB2312" w:cs="仿宋_GB2312"/>
          <w:color w:val="auto"/>
          <w:kern w:val="2"/>
          <w:sz w:val="32"/>
          <w:szCs w:val="32"/>
          <w:highlight w:val="none"/>
          <w:u w:val="none"/>
          <w:shd w:val="clear" w:fill="FFFFFF"/>
          <w:lang w:val="en-US" w:eastAsia="zh-CN" w:bidi="ar-SA"/>
        </w:rPr>
        <w:t>2.支持企业研发成果转化。支持领军企业联合产业链上下游企业和高校院所组建创新联合体。支持有条件的企业与省自然科学基金设立联合基金。支持领军企业在成果转化过程中孵化高层次科技人才团队。支持企业购买高校、科研院所、新型研发机构科技成果在芜实现转化。</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楷体_GB2312" w:hAnsi="楷体_GB2312" w:eastAsia="楷体_GB2312" w:cs="楷体_GB2312"/>
          <w:color w:val="auto"/>
          <w:kern w:val="2"/>
          <w:sz w:val="32"/>
          <w:szCs w:val="32"/>
          <w:highlight w:val="none"/>
          <w:u w:val="none"/>
          <w:shd w:val="clear" w:fill="FFFFFF"/>
          <w:lang w:val="en-US" w:eastAsia="zh-CN" w:bidi="ar-SA"/>
        </w:rPr>
      </w:pPr>
      <w:r>
        <w:rPr>
          <w:rFonts w:hint="eastAsia" w:ascii="仿宋_GB2312" w:hAnsi="仿宋_GB2312" w:eastAsia="仿宋_GB2312" w:cs="仿宋_GB2312"/>
          <w:color w:val="auto"/>
          <w:kern w:val="2"/>
          <w:sz w:val="32"/>
          <w:szCs w:val="32"/>
          <w:highlight w:val="none"/>
          <w:u w:val="none"/>
          <w:shd w:val="clear" w:fill="FFFFFF"/>
          <w:lang w:val="en-US" w:eastAsia="zh-CN" w:bidi="ar-SA"/>
        </w:rPr>
        <w:t>3.优化人才团队落地扶持机制。继续围绕十大新兴产业链招引高层次人才团队携科技成果落户芜湖。对团队中的C层次及以上层次人才，给予其工资性年收入缴纳的个人所得税地方所得超过税率15%以上的部分等额奖励，与购房补助政策不重复享受。对产业链领军企业、市天使基金参股子基金或其他市场化基金管理机构在芜投资的项目，市天使基金可参照子基金模式跟进投资。</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b/>
          <w:bCs/>
          <w:color w:val="auto"/>
          <w:kern w:val="2"/>
          <w:sz w:val="32"/>
          <w:szCs w:val="32"/>
          <w:highlight w:val="none"/>
          <w:u w:val="none"/>
          <w:shd w:val="clear" w:fill="FFFFFF"/>
          <w:lang w:val="en-US" w:eastAsia="zh-CN" w:bidi="ar-SA"/>
        </w:rPr>
      </w:pPr>
      <w:r>
        <w:rPr>
          <w:rFonts w:hint="eastAsia" w:ascii="仿宋_GB2312" w:hAnsi="仿宋_GB2312" w:eastAsia="仿宋_GB2312" w:cs="仿宋_GB2312"/>
          <w:b/>
          <w:bCs/>
          <w:color w:val="auto"/>
          <w:kern w:val="2"/>
          <w:sz w:val="32"/>
          <w:szCs w:val="32"/>
          <w:highlight w:val="none"/>
          <w:u w:val="none"/>
          <w:shd w:val="clear" w:fill="FFFFFF"/>
          <w:lang w:val="en-US" w:eastAsia="zh-CN" w:bidi="ar-SA"/>
        </w:rPr>
        <w:t>二是解决企业技术需求，实施高校科技成果捕集行动。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楷体_GB2312" w:hAnsi="楷体_GB2312" w:eastAsia="楷体_GB2312" w:cs="楷体_GB2312"/>
          <w:color w:val="auto"/>
          <w:kern w:val="2"/>
          <w:sz w:val="32"/>
          <w:szCs w:val="32"/>
          <w:highlight w:val="none"/>
          <w:u w:val="none"/>
          <w:shd w:val="clear" w:fill="FFFFFF"/>
          <w:lang w:val="en-US" w:eastAsia="zh-CN" w:bidi="ar-SA"/>
        </w:rPr>
      </w:pPr>
      <w:r>
        <w:rPr>
          <w:rFonts w:hint="eastAsia" w:ascii="仿宋_GB2312" w:hAnsi="仿宋_GB2312" w:eastAsia="仿宋_GB2312" w:cs="仿宋_GB2312"/>
          <w:color w:val="auto"/>
          <w:kern w:val="2"/>
          <w:sz w:val="32"/>
          <w:szCs w:val="32"/>
          <w:highlight w:val="none"/>
          <w:u w:val="none"/>
          <w:shd w:val="clear" w:fill="FFFFFF"/>
          <w:lang w:val="en-US" w:eastAsia="zh-CN" w:bidi="ar-SA"/>
        </w:rPr>
        <w:t>4.建立企业技术需求挖掘机制。开展“千家企业大走访”，常态化开展技术需求收集，形成产业链技术需求清单，进行精准发布、寻找解决方。从省内外高校院所等单位遴选一批“科技副区（县、市）长”“科技副总”，帮助企业挖掘技术需求、促进成果转化。</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楷体_GB2312" w:hAnsi="楷体_GB2312" w:eastAsia="楷体_GB2312" w:cs="楷体_GB2312"/>
          <w:color w:val="auto"/>
          <w:kern w:val="2"/>
          <w:sz w:val="32"/>
          <w:szCs w:val="32"/>
          <w:highlight w:val="none"/>
          <w:u w:val="none"/>
          <w:shd w:val="clear" w:fill="FFFFFF"/>
          <w:lang w:val="en-US" w:eastAsia="zh-CN" w:bidi="ar-SA"/>
        </w:rPr>
      </w:pPr>
      <w:r>
        <w:rPr>
          <w:rFonts w:hint="eastAsia" w:ascii="仿宋_GB2312" w:hAnsi="仿宋_GB2312" w:eastAsia="仿宋_GB2312" w:cs="仿宋_GB2312"/>
          <w:color w:val="auto"/>
          <w:kern w:val="2"/>
          <w:sz w:val="32"/>
          <w:szCs w:val="32"/>
          <w:highlight w:val="none"/>
          <w:u w:val="none"/>
          <w:shd w:val="clear" w:fill="FFFFFF"/>
          <w:lang w:val="en-US" w:eastAsia="zh-CN" w:bidi="ar-SA"/>
        </w:rPr>
        <w:t>5.建立科技成果动态捕捉机制。开展“百校科技成果大收集”，开展常态化科技成果收集捕捉，形成可转化科技成果清单，向企业针对性推送。市科技计划项目对企业与高校开展产学研合作的项目予以择优支持。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b/>
          <w:bCs/>
          <w:color w:val="auto"/>
          <w:kern w:val="2"/>
          <w:sz w:val="32"/>
          <w:szCs w:val="32"/>
          <w:highlight w:val="none"/>
          <w:u w:val="none"/>
          <w:shd w:val="clear" w:fill="FFFFFF"/>
          <w:lang w:val="en-US" w:eastAsia="zh-CN" w:bidi="ar-SA"/>
        </w:rPr>
      </w:pPr>
      <w:r>
        <w:rPr>
          <w:rFonts w:hint="eastAsia" w:ascii="仿宋_GB2312" w:hAnsi="仿宋_GB2312" w:eastAsia="仿宋_GB2312" w:cs="仿宋_GB2312"/>
          <w:color w:val="auto"/>
          <w:kern w:val="2"/>
          <w:sz w:val="32"/>
          <w:szCs w:val="32"/>
          <w:highlight w:val="none"/>
          <w:u w:val="none"/>
          <w:shd w:val="clear" w:fill="FFFFFF"/>
          <w:lang w:val="en-US" w:eastAsia="zh-CN" w:bidi="ar-SA"/>
        </w:rPr>
        <w:t>6.深化科技成果权属改革。允许市属高校科研院所、医疗机构在不涉及国家秘密、国家安全和重大社会公共利益的前提下，对全部或者主要利用市级财政性资金取得的职务科技成果，赋予成果完成人（团队）科技成果共同所有权或长期使用权。鼓励省属在芜高校科研院所、医疗机构科研人员职务科技成果赋权项目就地转化应用。支持高校科研院所、医疗机构科研人员将职务科技成果在芜转化。</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b/>
          <w:bCs/>
          <w:color w:val="auto"/>
          <w:kern w:val="2"/>
          <w:sz w:val="32"/>
          <w:szCs w:val="32"/>
          <w:highlight w:val="none"/>
          <w:u w:val="none"/>
          <w:shd w:val="clear" w:fill="FFFFFF"/>
          <w:lang w:val="en-US" w:eastAsia="zh-CN" w:bidi="ar-SA"/>
        </w:rPr>
      </w:pPr>
      <w:r>
        <w:rPr>
          <w:rFonts w:hint="eastAsia" w:ascii="仿宋_GB2312" w:hAnsi="仿宋_GB2312" w:eastAsia="仿宋_GB2312" w:cs="仿宋_GB2312"/>
          <w:b/>
          <w:bCs/>
          <w:color w:val="auto"/>
          <w:kern w:val="2"/>
          <w:sz w:val="32"/>
          <w:szCs w:val="32"/>
          <w:highlight w:val="none"/>
          <w:u w:val="none"/>
          <w:shd w:val="clear" w:fill="FFFFFF"/>
          <w:lang w:val="en-US" w:eastAsia="zh-CN" w:bidi="ar-SA"/>
        </w:rPr>
        <w:t>三是满足企业服务需求，实施技术市场培育行动。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楷体_GB2312" w:hAnsi="楷体_GB2312" w:eastAsia="楷体_GB2312" w:cs="楷体_GB2312"/>
          <w:color w:val="auto"/>
          <w:kern w:val="2"/>
          <w:sz w:val="32"/>
          <w:szCs w:val="32"/>
          <w:highlight w:val="none"/>
          <w:u w:val="none"/>
          <w:shd w:val="clear" w:fill="FFFFFF"/>
          <w:lang w:val="en-US" w:eastAsia="zh-CN" w:bidi="ar-SA"/>
        </w:rPr>
      </w:pPr>
      <w:r>
        <w:rPr>
          <w:rFonts w:hint="eastAsia" w:ascii="仿宋_GB2312" w:hAnsi="仿宋_GB2312" w:eastAsia="仿宋_GB2312" w:cs="仿宋_GB2312"/>
          <w:color w:val="auto"/>
          <w:kern w:val="2"/>
          <w:sz w:val="32"/>
          <w:szCs w:val="32"/>
          <w:highlight w:val="none"/>
          <w:u w:val="none"/>
          <w:shd w:val="clear" w:fill="FFFFFF"/>
          <w:lang w:val="en-US" w:eastAsia="zh-CN" w:bidi="ar-SA"/>
        </w:rPr>
        <w:t>7.开展科技服务链延链补链。推动成果转化服务市场化、全链条发展。支持本市企业购买全国范围内特别是长三角（G60科创走廊）区域的优质科技服务，纳入科技创新券通用通兑范围。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楷体_GB2312" w:hAnsi="楷体_GB2312" w:eastAsia="楷体_GB2312" w:cs="楷体_GB2312"/>
          <w:color w:val="auto"/>
          <w:kern w:val="2"/>
          <w:sz w:val="32"/>
          <w:szCs w:val="32"/>
          <w:highlight w:val="none"/>
          <w:u w:val="none"/>
          <w:shd w:val="clear" w:fill="FFFFFF"/>
          <w:lang w:val="en-US" w:eastAsia="zh-CN" w:bidi="ar-SA"/>
        </w:rPr>
      </w:pPr>
      <w:r>
        <w:rPr>
          <w:rFonts w:hint="eastAsia" w:ascii="仿宋_GB2312" w:hAnsi="仿宋_GB2312" w:eastAsia="仿宋_GB2312" w:cs="仿宋_GB2312"/>
          <w:color w:val="auto"/>
          <w:kern w:val="2"/>
          <w:sz w:val="32"/>
          <w:szCs w:val="32"/>
          <w:highlight w:val="none"/>
          <w:u w:val="none"/>
          <w:shd w:val="clear" w:fill="FFFFFF"/>
          <w:lang w:val="en-US" w:eastAsia="zh-CN" w:bidi="ar-SA"/>
        </w:rPr>
        <w:t>8.建设科技大市场。建设芜湖科技大市场，打造线上线下相结合的科技成果对接交易平台。将“科技副区（县、市）长”“科技副总”、高校科研管理人员等纳入技术经理（纪）人管理范围，对其开展技术成果交易服务并在芜转化的给予奖励。</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仿宋_GB2312" w:hAnsi="仿宋_GB2312" w:eastAsia="仿宋_GB2312" w:cs="仿宋_GB2312"/>
          <w:b/>
          <w:bCs/>
          <w:color w:val="auto"/>
          <w:kern w:val="2"/>
          <w:sz w:val="32"/>
          <w:szCs w:val="32"/>
          <w:highlight w:val="none"/>
          <w:u w:val="none"/>
          <w:shd w:val="clear" w:fill="FFFFFF"/>
          <w:lang w:val="en-US" w:eastAsia="zh-CN" w:bidi="ar-SA"/>
        </w:rPr>
      </w:pPr>
      <w:r>
        <w:rPr>
          <w:rFonts w:hint="eastAsia" w:ascii="仿宋_GB2312" w:hAnsi="仿宋_GB2312" w:eastAsia="仿宋_GB2312" w:cs="仿宋_GB2312"/>
          <w:b/>
          <w:bCs/>
          <w:color w:val="auto"/>
          <w:kern w:val="2"/>
          <w:sz w:val="32"/>
          <w:szCs w:val="32"/>
          <w:highlight w:val="none"/>
          <w:u w:val="none"/>
          <w:shd w:val="clear" w:fill="FFFFFF"/>
          <w:lang w:val="en-US" w:eastAsia="zh-CN" w:bidi="ar-SA"/>
        </w:rPr>
        <w:t>四是推动成果落地应用，实施科技成果产业化行动。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kern w:val="2"/>
          <w:sz w:val="32"/>
          <w:szCs w:val="32"/>
          <w:highlight w:val="none"/>
          <w:u w:val="none"/>
          <w:shd w:val="clear" w:fill="FFFFFF"/>
          <w:lang w:val="en-US" w:eastAsia="zh-CN" w:bidi="ar-SA"/>
        </w:rPr>
      </w:pPr>
      <w:r>
        <w:rPr>
          <w:rFonts w:hint="eastAsia" w:ascii="仿宋_GB2312" w:hAnsi="仿宋_GB2312" w:eastAsia="仿宋_GB2312" w:cs="仿宋_GB2312"/>
          <w:color w:val="auto"/>
          <w:kern w:val="2"/>
          <w:sz w:val="32"/>
          <w:szCs w:val="32"/>
          <w:highlight w:val="none"/>
          <w:u w:val="none"/>
          <w:shd w:val="clear" w:fill="FFFFFF"/>
          <w:lang w:val="en-US" w:eastAsia="zh-CN" w:bidi="ar-SA"/>
        </w:rPr>
        <w:t>9.建设孵化创新园区。编制全市创新园区整体规划，对创新园区用地予以重点保障，到2024年建成梦溪科创走廊、湾谷科技园等创新园区。出台创新园区专项扶持政策。支持国家、省级各类创新创业大赛获奖项目来芜落地。支持高校在芜建设大学科技园。</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仿宋_GB2312" w:hAnsi="仿宋_GB2312" w:eastAsia="仿宋_GB2312" w:cs="仿宋_GB2312"/>
          <w:b/>
          <w:bCs/>
          <w:color w:val="auto"/>
          <w:kern w:val="2"/>
          <w:sz w:val="32"/>
          <w:szCs w:val="32"/>
          <w:highlight w:val="none"/>
          <w:u w:val="none"/>
          <w:shd w:val="clear" w:fill="FFFFFF"/>
          <w:lang w:val="en-US" w:eastAsia="zh-CN" w:bidi="ar-SA"/>
        </w:rPr>
      </w:pPr>
      <w:r>
        <w:rPr>
          <w:rFonts w:hint="eastAsia" w:ascii="仿宋_GB2312" w:hAnsi="仿宋_GB2312" w:eastAsia="仿宋_GB2312" w:cs="仿宋_GB2312"/>
          <w:color w:val="auto"/>
          <w:kern w:val="2"/>
          <w:sz w:val="32"/>
          <w:szCs w:val="32"/>
          <w:highlight w:val="none"/>
          <w:u w:val="none"/>
          <w:shd w:val="clear" w:fill="FFFFFF"/>
          <w:lang w:val="en-US" w:eastAsia="zh-CN" w:bidi="ar-SA"/>
        </w:rPr>
        <w:t>10.建设概念验证中心和中试基地。</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b w:val="0"/>
          <w:bCs w:val="0"/>
          <w:color w:val="auto"/>
          <w:kern w:val="2"/>
          <w:sz w:val="32"/>
          <w:szCs w:val="32"/>
          <w:highlight w:val="none"/>
          <w:u w:val="none"/>
          <w:shd w:val="clear" w:fill="FFFFFF"/>
          <w:lang w:val="en-US" w:eastAsia="zh-CN" w:bidi="ar-SA"/>
        </w:rPr>
      </w:pPr>
      <w:r>
        <w:rPr>
          <w:rFonts w:hint="eastAsia" w:ascii="仿宋_GB2312" w:hAnsi="仿宋_GB2312" w:eastAsia="仿宋_GB2312" w:cs="仿宋_GB2312"/>
          <w:color w:val="auto"/>
          <w:kern w:val="2"/>
          <w:sz w:val="32"/>
          <w:szCs w:val="32"/>
          <w:highlight w:val="none"/>
          <w:u w:val="none"/>
          <w:shd w:val="clear" w:fill="FFFFFF"/>
          <w:lang w:val="en-US" w:eastAsia="zh-CN" w:bidi="ar-SA"/>
        </w:rPr>
        <w:t>11.推进场景应用示范。推动</w:t>
      </w:r>
      <w:r>
        <w:rPr>
          <w:rFonts w:hint="eastAsia" w:ascii="仿宋_GB2312" w:hAnsi="仿宋_GB2312" w:eastAsia="仿宋_GB2312" w:cs="仿宋_GB2312"/>
          <w:b w:val="0"/>
          <w:bCs w:val="0"/>
          <w:color w:val="auto"/>
          <w:kern w:val="2"/>
          <w:sz w:val="32"/>
          <w:szCs w:val="32"/>
          <w:highlight w:val="none"/>
          <w:u w:val="none"/>
          <w:shd w:val="clear" w:fill="FFFFFF"/>
          <w:lang w:val="en-US" w:eastAsia="zh-CN" w:bidi="ar-SA"/>
        </w:rPr>
        <w:t>政府应用场景向企业开放。开展应用场景需求和解决方案征集发布，推动供需有效对接。鼓励领军企业应用场景向中小企业开放。支持采购“三新”（新技术、新产品、新模式）“三首”（首台套、首批次、首版次）产品。</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color w:val="auto"/>
          <w:kern w:val="2"/>
          <w:sz w:val="32"/>
          <w:szCs w:val="32"/>
          <w:highlight w:val="none"/>
          <w:u w:val="none"/>
          <w:shd w:val="clear" w:fill="FFFFFF"/>
          <w:lang w:val="en-US" w:eastAsia="zh-CN" w:bidi="ar-SA"/>
        </w:rPr>
      </w:pPr>
      <w:r>
        <w:rPr>
          <w:rFonts w:hint="eastAsia" w:ascii="楷体_GB2312" w:hAnsi="楷体_GB2312" w:eastAsia="楷体_GB2312" w:cs="楷体_GB2312"/>
          <w:b/>
          <w:bCs/>
          <w:color w:val="auto"/>
          <w:sz w:val="32"/>
          <w:szCs w:val="32"/>
          <w:lang w:val="en-US" w:eastAsia="zh-CN"/>
        </w:rPr>
        <w:t>第四部分保障措施。</w:t>
      </w:r>
      <w:r>
        <w:rPr>
          <w:rFonts w:hint="eastAsia" w:ascii="仿宋_GB2312" w:hAnsi="仿宋_GB2312" w:eastAsia="仿宋_GB2312" w:cs="仿宋_GB2312"/>
          <w:color w:val="auto"/>
          <w:kern w:val="2"/>
          <w:sz w:val="32"/>
          <w:szCs w:val="32"/>
          <w:highlight w:val="none"/>
          <w:u w:val="none"/>
          <w:shd w:val="clear" w:fill="FFFFFF"/>
          <w:lang w:val="en-US" w:eastAsia="zh-CN" w:bidi="ar-SA"/>
        </w:rPr>
        <w:t>按照省方案要求，一是加强统筹协调，成立领导小组和工作专班，纳入目标考核。二是加强统计分析。三是加强宣传推介。</w:t>
      </w:r>
    </w:p>
    <w:p>
      <w:pPr>
        <w:keepNext w:val="0"/>
        <w:keepLines w:val="0"/>
        <w:pageBreakBefore w:val="0"/>
        <w:widowControl/>
        <w:kinsoku/>
        <w:wordWrap/>
        <w:overflowPunct/>
        <w:topLinePunct w:val="0"/>
        <w:autoSpaceDE/>
        <w:autoSpaceDN/>
        <w:bidi w:val="0"/>
        <w:adjustRightInd/>
        <w:snapToGrid/>
        <w:spacing w:beforeLines="0" w:afterLines="0" w:line="540" w:lineRule="exact"/>
        <w:ind w:firstLine="640" w:firstLineChars="200"/>
        <w:jc w:val="left"/>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三、发文方式</w:t>
      </w:r>
    </w:p>
    <w:p>
      <w:pPr>
        <w:keepNext w:val="0"/>
        <w:keepLines w:val="0"/>
        <w:pageBreakBefore w:val="0"/>
        <w:widowControl/>
        <w:kinsoku/>
        <w:wordWrap/>
        <w:overflowPunct/>
        <w:topLinePunct w:val="0"/>
        <w:autoSpaceDE/>
        <w:autoSpaceDN/>
        <w:bidi w:val="0"/>
        <w:adjustRightInd/>
        <w:snapToGrid/>
        <w:ind w:firstLine="640" w:firstLineChars="200"/>
        <w:textAlignment w:val="auto"/>
        <w:rPr>
          <w:color w:val="auto"/>
        </w:rPr>
      </w:pPr>
      <w:r>
        <w:rPr>
          <w:rFonts w:hint="eastAsia" w:ascii="仿宋_GB2312" w:hAnsi="仿宋_GB2312" w:eastAsia="仿宋_GB2312" w:cs="仿宋_GB2312"/>
          <w:bCs w:val="0"/>
          <w:color w:val="auto"/>
          <w:kern w:val="2"/>
          <w:sz w:val="32"/>
          <w:szCs w:val="32"/>
          <w:highlight w:val="none"/>
          <w:u w:val="none"/>
          <w:shd w:val="clear" w:fill="FFFFFF"/>
          <w:lang w:val="en-US" w:eastAsia="zh-CN" w:bidi="ar-SA"/>
        </w:rPr>
        <w:t>拟请以市政府名义印发实施。</w:t>
      </w:r>
    </w:p>
    <w:sectPr>
      <w:footerReference r:id="rId3" w:type="default"/>
      <w:pgSz w:w="11906" w:h="16838"/>
      <w:pgMar w:top="1440" w:right="1644" w:bottom="1134" w:left="164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eastAsia="zh-CN"/>
                            </w:rPr>
                            <w:fldChar w:fldCharType="end"/>
                          </w:r>
                          <w:r>
                            <w:rPr>
                              <w:rFonts w:hint="eastAsia" w:ascii="仿宋_GB2312" w:hAnsi="仿宋_GB2312" w:eastAsia="仿宋_GB2312" w:cs="仿宋_GB2312"/>
                              <w:sz w:val="32"/>
                              <w:szCs w:val="32"/>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eastAsia="zh-CN"/>
                      </w:rPr>
                      <w:fldChar w:fldCharType="end"/>
                    </w:r>
                    <w:r>
                      <w:rPr>
                        <w:rFonts w:hint="eastAsia" w:ascii="仿宋_GB2312" w:hAnsi="仿宋_GB2312" w:eastAsia="仿宋_GB2312" w:cs="仿宋_GB2312"/>
                        <w:sz w:val="32"/>
                        <w:szCs w:val="32"/>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mNWM3NWZjMTc3M2FkYWNmMWZiYmE2NWYyMDNlNjAifQ=="/>
  </w:docVars>
  <w:rsids>
    <w:rsidRoot w:val="484E6492"/>
    <w:rsid w:val="01415CD2"/>
    <w:rsid w:val="02082841"/>
    <w:rsid w:val="026178AC"/>
    <w:rsid w:val="04A86794"/>
    <w:rsid w:val="07B478C1"/>
    <w:rsid w:val="098C73A9"/>
    <w:rsid w:val="12624914"/>
    <w:rsid w:val="12AF548A"/>
    <w:rsid w:val="1C4E078A"/>
    <w:rsid w:val="23AF7875"/>
    <w:rsid w:val="2BC809DB"/>
    <w:rsid w:val="362034F6"/>
    <w:rsid w:val="3AAC026B"/>
    <w:rsid w:val="3CC01540"/>
    <w:rsid w:val="484E6492"/>
    <w:rsid w:val="5859090D"/>
    <w:rsid w:val="5F513E22"/>
    <w:rsid w:val="6B7F3515"/>
    <w:rsid w:val="6C1B211D"/>
    <w:rsid w:val="6F962A05"/>
    <w:rsid w:val="72435955"/>
    <w:rsid w:val="76464723"/>
    <w:rsid w:val="777768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kern w:val="2"/>
      <w:sz w:val="21"/>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2"/>
    <w:basedOn w:val="1"/>
    <w:next w:val="1"/>
    <w:qFormat/>
    <w:uiPriority w:val="0"/>
    <w:pPr>
      <w:spacing w:after="120" w:line="480" w:lineRule="auto"/>
      <w:ind w:left="420" w:leftChars="200"/>
    </w:pPr>
  </w:style>
  <w:style w:type="paragraph" w:styleId="3">
    <w:name w:val="Body Text"/>
    <w:basedOn w:val="1"/>
    <w:qFormat/>
    <w:uiPriority w:val="1"/>
    <w:rPr>
      <w:rFonts w:ascii="方正仿宋_GBK" w:hAnsi="方正仿宋_GBK" w:eastAsia="方正仿宋_GBK" w:cs="方正仿宋_GBK"/>
      <w:sz w:val="32"/>
      <w:szCs w:val="32"/>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Title"/>
    <w:basedOn w:val="1"/>
    <w:next w:val="1"/>
    <w:qFormat/>
    <w:uiPriority w:val="0"/>
    <w:pPr>
      <w:spacing w:before="100" w:beforeAutospacing="1" w:after="100" w:afterAutospacing="1" w:line="560" w:lineRule="exact"/>
      <w:jc w:val="center"/>
      <w:outlineLvl w:val="0"/>
    </w:pPr>
    <w:rPr>
      <w:rFonts w:ascii="Calibri" w:hAnsi="Calibri" w:eastAsia="方正小标宋_GBK" w:cs="Times New Roman"/>
      <w:bCs/>
      <w:sz w:val="44"/>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1852</Words>
  <Characters>1879</Characters>
  <Lines>0</Lines>
  <Paragraphs>0</Paragraphs>
  <TotalTime>11</TotalTime>
  <ScaleCrop>false</ScaleCrop>
  <LinksUpToDate>false</LinksUpToDate>
  <CharactersWithSpaces>1883</CharactersWithSpaces>
  <Application>WPS Office_12.1.0.15673_F1E327BC-269C-435d-A152-05C5408002CA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2022-09-16T03:58:00Z</dcterms:created>
  <dc:creator>Administrator</dc:creator>
  <cp:lastModifiedBy>Smack</cp:lastModifiedBy>
  <cp:lastPrinted>2022-12-22T03:06:00Z</cp:lastPrinted>
  <dcterms:modified xsi:type="dcterms:W3CDTF">2023-09-25T08:10:31Z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2052-12.1.0.15673</vt:lpwstr>
  </property>
  <property fmtid="{D5CDD505-2E9C-101B-9397-08002B2CF9AE}" pid="3" name="ICV">
    <vt:lpwstr>618542C03FA049CDA5E73AA2F47B9099</vt:lpwstr>
  </property>
</Properties>
</file>