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6EF4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2F4A1D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52"/>
          <w:lang w:val="en-US" w:eastAsia="zh-CN"/>
        </w:rPr>
      </w:pPr>
    </w:p>
    <w:p w14:paraId="4BB8F3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color w:val="auto"/>
          <w:sz w:val="44"/>
          <w:szCs w:val="52"/>
          <w:lang w:val="en-US" w:eastAsia="zh-CN"/>
        </w:rPr>
      </w:pPr>
      <w:r>
        <w:rPr>
          <w:rFonts w:hint="default" w:ascii="Times New Roman" w:hAnsi="Times New Roman" w:eastAsia="方正小标宋简体" w:cs="Times New Roman"/>
          <w:color w:val="auto"/>
          <w:sz w:val="44"/>
          <w:szCs w:val="52"/>
          <w:lang w:val="en-US" w:eastAsia="zh-CN"/>
        </w:rPr>
        <w:t>芜湖市</w:t>
      </w:r>
      <w:r>
        <w:rPr>
          <w:rFonts w:hint="eastAsia" w:ascii="Times New Roman" w:hAnsi="Times New Roman" w:cs="Times New Roman"/>
          <w:color w:val="auto"/>
          <w:sz w:val="44"/>
          <w:szCs w:val="52"/>
          <w:lang w:val="en-US" w:eastAsia="zh-CN"/>
        </w:rPr>
        <w:t>支持</w:t>
      </w:r>
      <w:r>
        <w:rPr>
          <w:rFonts w:hint="default" w:ascii="Times New Roman" w:hAnsi="Times New Roman" w:eastAsia="方正小标宋简体" w:cs="Times New Roman"/>
          <w:color w:val="auto"/>
          <w:sz w:val="44"/>
          <w:szCs w:val="52"/>
          <w:lang w:val="en-US" w:eastAsia="zh-CN"/>
        </w:rPr>
        <w:t>知识产权和建筑业发展</w:t>
      </w:r>
      <w:r>
        <w:rPr>
          <w:rFonts w:hint="eastAsia" w:ascii="Times New Roman" w:hAnsi="Times New Roman" w:cs="Times New Roman"/>
          <w:color w:val="auto"/>
          <w:sz w:val="44"/>
          <w:szCs w:val="52"/>
          <w:lang w:val="en-US" w:eastAsia="zh-CN"/>
        </w:rPr>
        <w:t>若干政策</w:t>
      </w:r>
    </w:p>
    <w:p w14:paraId="32FD51F1">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color w:val="auto"/>
          <w:sz w:val="32"/>
          <w:szCs w:val="32"/>
          <w:lang w:val="en-US" w:eastAsia="zh-CN"/>
        </w:rPr>
        <w:t>（征求意见稿）</w:t>
      </w:r>
    </w:p>
    <w:p w14:paraId="40BA033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40"/>
          <w:lang w:val="en-US" w:eastAsia="zh-CN"/>
        </w:rPr>
      </w:pPr>
    </w:p>
    <w:p w14:paraId="2532A677">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w:t>
      </w:r>
      <w:r>
        <w:rPr>
          <w:rFonts w:hint="eastAsia" w:ascii="Times New Roman" w:hAnsi="Times New Roman" w:eastAsia="仿宋_GB2312" w:cs="Times New Roman"/>
          <w:sz w:val="32"/>
          <w:szCs w:val="32"/>
          <w:lang w:val="en-US" w:eastAsia="zh-CN"/>
        </w:rPr>
        <w:t>深化知识产权及质量提升机制，推动技术创新与建筑产业升级，提升产业核心竞争力，</w:t>
      </w:r>
      <w:r>
        <w:rPr>
          <w:rFonts w:hint="default" w:ascii="Times New Roman" w:hAnsi="Times New Roman" w:eastAsia="仿宋_GB2312" w:cs="Times New Roman"/>
          <w:sz w:val="32"/>
          <w:szCs w:val="32"/>
          <w:lang w:val="en-US" w:eastAsia="zh-CN"/>
        </w:rPr>
        <w:t>为城市高质量发展注入新动能。</w:t>
      </w:r>
      <w:r>
        <w:rPr>
          <w:rFonts w:hint="eastAsia" w:ascii="Times New Roman" w:hAnsi="Times New Roman" w:eastAsia="仿宋_GB2312" w:cs="Times New Roman"/>
          <w:sz w:val="32"/>
          <w:szCs w:val="32"/>
          <w:lang w:val="en-US" w:eastAsia="zh-CN"/>
        </w:rPr>
        <w:t>制定实施本政策。</w:t>
      </w:r>
    </w:p>
    <w:p w14:paraId="5C245643">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一</w:t>
      </w:r>
      <w:r>
        <w:rPr>
          <w:rFonts w:hint="default" w:ascii="Times New Roman" w:hAnsi="Times New Roman" w:eastAsia="黑体" w:cs="Times New Roman"/>
          <w:b w:val="0"/>
          <w:bCs w:val="0"/>
          <w:sz w:val="32"/>
          <w:szCs w:val="32"/>
          <w:lang w:val="en-US" w:eastAsia="zh-CN"/>
        </w:rPr>
        <w:t>、市场监管知识产权、质量、标准类政策</w:t>
      </w:r>
    </w:p>
    <w:p w14:paraId="1AFFF4F3">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color w:val="auto"/>
          <w:sz w:val="32"/>
          <w:szCs w:val="32"/>
          <w:lang w:val="en-US" w:eastAsia="zh-CN"/>
        </w:rPr>
        <w:t>1.促进知识产权创造、运用和保护政策。</w:t>
      </w:r>
      <w:r>
        <w:rPr>
          <w:rFonts w:hint="default" w:ascii="Times New Roman" w:hAnsi="Times New Roman" w:eastAsia="仿宋_GB2312" w:cs="Times New Roman"/>
          <w:sz w:val="32"/>
          <w:szCs w:val="32"/>
        </w:rPr>
        <w:t>对开展高价值专利培育的创新主体给予不超过50万元资金支持。对获得国家专利金奖、银奖、省专利金奖的分别给予50万元、30万元、20万元一次性奖励，对获批国家地理标志产品保护的申报组织，每家给予10万元补助。新认定的国家技术与创新支持中心、国家知识产权公共信息服务网点，分别给予100万元、50万元一次性奖励。以商标权、专利权质押融资3000万元以上的，对当年产生的利息、评估费用总额的30%予以补助，单个企业不超过20万元。对开展知识产权公共服务支撑重点领域关键技术核心攻关试点的企业予以不超过30万元补助。高校、科研机构将专利转让或者许可给企业，年度累计达30 家以上或者当年签订合同实际到账金额累计达到100万元以上,按到账金额5%给予奖励,每家不超过30万元。对在省知识产权事业发展中心登记的导航项目予以不超过10万元补助。对高质开展公共服务的公共服务机构给予不超过50万元资金支持。</w:t>
      </w:r>
    </w:p>
    <w:p w14:paraId="25CDF380">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color w:val="auto"/>
          <w:sz w:val="32"/>
          <w:szCs w:val="32"/>
          <w:lang w:val="en-US" w:eastAsia="zh-CN"/>
        </w:rPr>
        <w:t>2.推动质量品牌建设。</w:t>
      </w:r>
      <w:r>
        <w:rPr>
          <w:rFonts w:hint="default" w:ascii="Times New Roman" w:hAnsi="Times New Roman" w:eastAsia="仿宋_GB2312" w:cs="Times New Roman"/>
          <w:sz w:val="32"/>
          <w:szCs w:val="32"/>
          <w:lang w:val="en-US" w:eastAsia="zh-CN"/>
        </w:rPr>
        <w:t>对新获得中国质量奖、中国质量奖提名奖、安徽省人民政府质量奖、安徽省人民政府质量奖提名奖的组织分别给予 100万元、50万元、50万元、20万元的一次性奖励；对新获得质量强国建设领军企业的给予30万元的一次性奖励；对新获得安徽省人民政府质量奖、安徽省人民政府质量奖提名奖的个人在省级奖励的基础上再分别给予10万元、5万元的一次性奖励；对新获得芜湖市人民政府质量奖金奖、银奖的组织，分别给予50万元、10万元的一次性奖励。对新获得皖美品牌（制造业）和新取得“芜湖智造”品牌认证的，给予5万元一次性奖励。</w:t>
      </w:r>
    </w:p>
    <w:p w14:paraId="6B6F0F5D">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b w:val="0"/>
          <w:bCs w:val="0"/>
          <w:color w:val="auto"/>
          <w:sz w:val="32"/>
          <w:szCs w:val="32"/>
          <w:lang w:val="en-US" w:eastAsia="zh-CN"/>
        </w:rPr>
        <w:t>3.推动标准化创新发展。</w:t>
      </w:r>
      <w:r>
        <w:rPr>
          <w:rFonts w:hint="default" w:ascii="Times New Roman" w:hAnsi="Times New Roman" w:eastAsia="仿宋_GB2312" w:cs="Times New Roman"/>
          <w:kern w:val="0"/>
          <w:sz w:val="32"/>
          <w:szCs w:val="32"/>
          <w:lang w:val="en-US" w:eastAsia="zh-CN" w:bidi="ar-SA"/>
        </w:rPr>
        <w:t>对2025年主导完成研制国际、国家、行业标准的单位分别给予不超过80万元、30万元、15万元一次性奖励（同一单位每年奖励不超过2个项目）。</w:t>
      </w:r>
    </w:p>
    <w:p w14:paraId="3A3E40D1">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二、</w:t>
      </w:r>
      <w:r>
        <w:rPr>
          <w:rFonts w:hint="default" w:ascii="Times New Roman" w:hAnsi="Times New Roman" w:eastAsia="黑体" w:cs="Times New Roman"/>
          <w:b w:val="0"/>
          <w:bCs w:val="0"/>
          <w:sz w:val="32"/>
          <w:szCs w:val="32"/>
          <w:lang w:val="en-US" w:eastAsia="zh-CN"/>
        </w:rPr>
        <w:t>建筑业奖补政策</w:t>
      </w:r>
    </w:p>
    <w:p w14:paraId="36C67C21">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b w:val="0"/>
          <w:bCs w:val="0"/>
          <w:color w:val="auto"/>
          <w:sz w:val="32"/>
          <w:szCs w:val="32"/>
          <w:lang w:val="en-US" w:eastAsia="zh-CN"/>
        </w:rPr>
        <w:t>1.优质建设工程奖。</w:t>
      </w:r>
      <w:r>
        <w:rPr>
          <w:rFonts w:hint="default" w:ascii="Times New Roman" w:hAnsi="Times New Roman" w:eastAsia="仿宋_GB2312" w:cs="Times New Roman"/>
          <w:kern w:val="0"/>
          <w:sz w:val="32"/>
          <w:szCs w:val="32"/>
          <w:lang w:val="en-US" w:eastAsia="zh-CN" w:bidi="ar-SA"/>
        </w:rPr>
        <w:t>对主承建的工程项目获得“鲁班奖”“国家优质工程金质奖”的，给予100万元一次性奖补；获得“国家优质工程奖”的，给予50万元一次性奖补；获得“黄山杯”等省级优质工程奖的，给予20万元一次性奖补。对独立完成并被审定为国家级、省级工法的企业，分别给予20万元、10万元的一次性奖补。优质建设工程奖奖补总额上限100万元，超出则按总量控制原则等比例调整兑付。同一企业或同一项目多次获奖的，按最高奖补金额给予奖补，不重复计算奖补。政府投资项目施工合同对工程获奖情况约定相关奖励的，不重复享受上述支持政策。</w:t>
      </w:r>
    </w:p>
    <w:p w14:paraId="3C71C3BE">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40"/>
          <w:lang w:val="en-US" w:eastAsia="zh-CN"/>
        </w:rPr>
      </w:pPr>
      <w:r>
        <w:rPr>
          <w:rFonts w:hint="default" w:ascii="Times New Roman" w:hAnsi="Times New Roman" w:eastAsia="楷体_GB2312" w:cs="Times New Roman"/>
          <w:b w:val="0"/>
          <w:bCs w:val="0"/>
          <w:color w:val="auto"/>
          <w:sz w:val="32"/>
          <w:szCs w:val="32"/>
          <w:lang w:val="en-US" w:eastAsia="zh-CN"/>
        </w:rPr>
        <w:t>2.建筑业企业资质升级奖。</w:t>
      </w:r>
      <w:r>
        <w:rPr>
          <w:rFonts w:hint="default" w:ascii="Times New Roman" w:hAnsi="Times New Roman" w:eastAsia="仿宋_GB2312" w:cs="Times New Roman"/>
          <w:color w:val="auto"/>
          <w:kern w:val="0"/>
          <w:sz w:val="32"/>
          <w:szCs w:val="40"/>
          <w:lang w:val="en-US" w:eastAsia="zh-CN"/>
        </w:rPr>
        <w:t>建筑业企业资质等级晋升为施工总承包特级的，给予100万元一次性奖补；晋升为施工总承包一级的，给予20万元一次性奖补。资质升级奖奖补总额上限200万元，超出则按总量控制原则等比例调整兑付。</w:t>
      </w:r>
    </w:p>
    <w:p w14:paraId="533B9876">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pPr>
      <w:r>
        <w:rPr>
          <w:rFonts w:hint="default" w:ascii="Times New Roman" w:hAnsi="Times New Roman" w:eastAsia="楷体_GB2312" w:cs="Times New Roman"/>
          <w:b w:val="0"/>
          <w:bCs w:val="0"/>
          <w:color w:val="auto"/>
          <w:sz w:val="32"/>
          <w:szCs w:val="32"/>
          <w:lang w:val="en-US" w:eastAsia="zh-CN"/>
        </w:rPr>
        <w:t>3.建筑业总部经济奖。</w:t>
      </w:r>
      <w:r>
        <w:rPr>
          <w:rFonts w:hint="default" w:ascii="Times New Roman" w:hAnsi="Times New Roman" w:eastAsia="仿宋_GB2312" w:cs="Times New Roman"/>
          <w:color w:val="auto"/>
          <w:kern w:val="0"/>
          <w:sz w:val="32"/>
          <w:szCs w:val="40"/>
          <w:lang w:val="en-US" w:eastAsia="zh-CN"/>
        </w:rPr>
        <w:t>建筑业企业年主营业务收入首次达到30亿元、50亿元、100亿元的，分别给予50万元、80万元、100万元的一次性奖补。每上一个台阶（超过100亿元部分，每50亿元奖补50万元为一个台阶）奖补一次。总部经济奖奖补总额上限100万元，超出则按总量控制原则等比例调整兑付。</w:t>
      </w:r>
      <w:bookmarkStart w:id="0" w:name="_GoBack"/>
      <w:bookmarkEnd w:id="0"/>
    </w:p>
    <w:sectPr>
      <w:footerReference r:id="rId3" w:type="default"/>
      <w:pgSz w:w="11906" w:h="16838"/>
      <w:pgMar w:top="1440" w:right="1576" w:bottom="1440" w:left="1576"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B49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47B1DE">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47B1DE">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5C2CB6"/>
    <w:rsid w:val="1EAD7A72"/>
    <w:rsid w:val="45A176CC"/>
    <w:rsid w:val="74780A2A"/>
    <w:rsid w:val="7A5C2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小标宋简体" w:cs="方正小标宋简体"/>
      <w:kern w:val="44"/>
      <w:sz w:val="44"/>
      <w:szCs w:val="4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Cs w:val="32"/>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1296</Words>
  <Characters>1367</Characters>
  <Lines>0</Lines>
  <Paragraphs>0</Paragraphs>
  <TotalTime>6</TotalTime>
  <ScaleCrop>false</ScaleCrop>
  <LinksUpToDate>false</LinksUpToDate>
  <CharactersWithSpaces>1369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2025-03-05T07:28:00Z</dcterms:created>
  <dc:creator>qzuser</dc:creator>
  <cp:lastModifiedBy>qzuser</cp:lastModifiedBy>
  <dcterms:modified xsi:type="dcterms:W3CDTF">2025-03-05T08:02:32Z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E96105A68F0142789281147238CB367A_13</vt:lpwstr>
  </property>
  <property fmtid="{D5CDD505-2E9C-101B-9397-08002B2CF9AE}" pid="4" name="KSOTemplateDocerSaveRecord">
    <vt:lpwstr>eyJoZGlkIjoiMzEzMDhiNzA1NGRiMjI3ZDZiZjdkNmI0MDc3YjM1YTEiLCJ1c2VySWQiOiIzMDU3MzE4MzgifQ==</vt:lpwstr>
  </property>
</Properties>
</file>