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鸠兹科创湾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建设实施方案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楷体_GB2312" w:cs="Times New Roman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芜湖古称鸠兹，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是长三角中心城市之一；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是处于长江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（安徽段）百里生态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湾畔的国家创新型城市。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培育发展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新质生产力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创新科创体系，完善创新生态，培育未来产业，决定建设“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鸠兹科创湾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科创湾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是汇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聚科创企业、科创人才、科创成果、科创资金等创新要素的科创大平台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创新链产业链资金链人才链深度融合，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加快形成新质生产力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。现结合实际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，制定实施方案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如下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贯彻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习近平总书记关于科技创新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新质生产力的重要论述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和重要指示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精神，坚持“产业+科创”，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以企业创新为主体，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以高水平科创园区建设运营为抓手，以科技创新体制机制改革为动力，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以科技创新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引领产业创新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高效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汇聚科技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创新资源，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联动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“科大硅谷”，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构建“北谷南湾”发展格局，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立足副中心，辐射长三角，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加快打造带动全省、服务全国、面向世界、引领未来的创新策源地，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支撑创新型省份和省域副中心建设。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到2027年，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品牌全面打响，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学习借鉴“科大硅谷”经验做法取得实效，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创新要素集聚效应充分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显现，每年引育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高新技术企业、专精特新企业等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科创企业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000家，集聚各类人才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10000人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基金规模超100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亿元，形成一批可复制可推广的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改革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创新成果，在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创新版图中的优势地位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巩固，成为长三角具有重要影响力的产业创新中心。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到2035年，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科创湾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发展格局全面形成，近悦远来的创新生态充分彰显，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源泉充分涌流、创新成果加速转化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辐射带动城市创新层级全面跃升，成为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全国一流的“四链”融合试验区和新质生产力示范区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二、战略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定位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（一）创新人才集聚区。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紫云英人才计划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为牵引，全面优化人才政策体系和服务生态，把“科创湾”打造成为懂科技、懂产业、懂资本、懂市场、懂管理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的复合型科技产业组织人才大舞台，成为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人才价值实现之地、创新人才圆梦之地。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科创企业培育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强化企业创新主体地位，建立“科技型中小企业—高新技术企业—专精特新中小企业—专精特新小巨人企业”梯次培育体系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，让各类科技型企业以铺天盖地之势在“科创湾”集聚成势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四链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融合试验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区。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以体制机制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改革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为动力，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  <w:t>推动创新链产业链资金链人才链深度融合，科技产业融合更加紧密、教育人才支撑产业发展更加精准、金融赋能科创和产业发展更加高效，打造主体高效协同、要素集聚融通、“政产学研金服用”互融互促的创新生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）新质生产力示范区。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抢抓新一轮科技革命和产业变革机遇，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聚焦新能源汽车和智能网联汽车、智能机器人等新兴产业及低空经济、合成生物、脑健康等未来产业，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推动技术创新、模式创新、产业创新，提升自主创新能力，以高水平科技自立自强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培育和发展新质生产力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三、发展布局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按照“政府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导、市场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运作、多方联动、做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增量、开放聚集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”的原则，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时序推进核心起步区、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矩阵发展区和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联动发展区建设。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核心起步区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鸠江区、镜湖区、经开区、高新区等为主体，先期规划建设总面积超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200万平方米的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梦溪科创走廊、数字经济产业园、凤鸣研创中心、南站科技园、中国视谷等重点园区为核心起步区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率先集聚一批新型研发机构、公共创新平台、科技型企业，建设一套可复制的科创运营体系，打造一支具有科创运营服务能力的专业团队，形成科技体制机制改革、科创要素聚势赋能、科技产业蓬勃发展的示范引领效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（二）矩阵发展区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以江北集中区、三山经开区、无为市、南陵县、湾沚区、繁昌区等投资建设的创新园区为矩阵发展区，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按照“成熟一个、加盟一个”的原则，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各县市区、开发区谋划布局高品质创新园区加盟矩阵发展区，融入“科创湾”创新矩阵。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（三）联动发展区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深入贯彻落实长三角一体化发展国家战略，积极参与长三角G60科创走廊建设，加强与“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科大硅谷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”、城西科创大走廊、张江科学城等科创园区联动发展。推进长三角G60科创走廊芜湖产业创新中心等科创飞地建设，支持国内外城市在芜建设研发创新的“正向飞地”，加速构建创新资源联动发展格局。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四、创新管理运营体制机制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成立理事会。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成立“科创湾”理事会，由省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任理事长，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分管副省长任副理事长，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省政府有关秘书长、有关省直部门、芜湖市主要负责同志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高校负责同志任理事，负责领导“科创湾”建设及运营工作，帮助协调解决“科创湾”建设及运营过程中存在的问题和困难，支持“科创湾”发展。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工作专班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芜湖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市创新委员会的领导下，成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政府主要负责同志任组长，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关分管市领导任副组长，相关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县市区、开发区和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负责同志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成员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工作专班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负责组织制定“科创湾”战略规划、行动方案、工作目标，以及重大事项调度和重大项目推进工作等。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专班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办公室设在市科技局，办公室主任由市科技局主要负责同志兼任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工作专班日常事务，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协调“科创湾”建设和运营，牵头制定和推动相关政策落实，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统筹全市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科技企业引育。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搭建“科创湾”服务平台公司。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配合工作专班办公室完成理事会和工作专班决定事项落实；做好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科创湾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母基金的运营管理，招引具有市场发展潜力和前景的早、中期科技型企业，促进科技成果转化，做好入驻“科创湾”科技型企业培育壮大等；会同载体单位搭建“一体化”服务平台，实现“四个统一”，即统一受理各类服务事项；统一集成、配置“科创湾”资源，为“科创湾”各园区及园区企业、人才、科技成果提供全方位的服务支撑；统一赛事活动，牵头举办重大赛事、论坛、峰会等；统一“科创湾”标识，加强“科创湾”品牌运营管理，做好对外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成立战略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委员会。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成立由国内外知名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、企业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等组成的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战略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委员会，开展科技创新、产业创新、体制机制创新等研究，围绕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发展战略、发展模式、发展路径提供决策咨询。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战略咨询委员会秘书处设在“科创湾”平台公司。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落实载体单位责任。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载体单位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负责组建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工作机构，业务上接受专班办公室指导与统一调度，具体落实生态搭建、生活配套、政策保障、运营管理、科技企业引育等工作。鼓励高水平团队按照市场化方式运营“科创湾”项目，负责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园区日常运营、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企业（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招引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" w:eastAsia="zh-CN" w:bidi="ar-SA"/>
          <w14:textFill>
            <w14:solidFill>
              <w14:schemeClr w14:val="tx1"/>
            </w14:solidFill>
          </w14:textFill>
        </w:rPr>
        <w:t>、入园企业服务等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五、链接全球创新资源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招募全球合伙人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。探索高端要素导入机制，面向全球招募合伙人，作为链接全球创新资源的平台和窗口。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利用好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“科大硅谷”海外创新中心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等资源招募海外人才。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支持全球合伙人采取“整体托管”“细分单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方式运营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创新园区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，招引产业上中下游企业、项目、人才等在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内进行创新孵化活动，打造“一栋楼就是一个创新联合体，一栋楼就是一个产业链”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的创新生态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。根据全球合伙人服务绩效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情况，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给予最高1000万元补助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支持全球研发中心建设。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突出“科创湾”研发创新功能属性，鼓励世界500强企业、国内外知名企业、高校院所等在“科创湾”内设立全球研发中心，引育一批研发任务源自全球、研发资源来自全球、研发成果用于全球的高水平研发机构，统筹资金、项目、人才等资源，支持研发机构发展。根据研发机构运行效果，择优给予最高1亿元支持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发挥高等研究院作用。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加强与国内外知名高校产学研合作对接，支持产业链领军企业与高校联合开展科研攻关，以项目为牵引、以实战为导向，培养应用型人才。支持高等研究院相关高校校友携优秀成果来芜创新创业，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推动有转化价值的科技成果在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转移转化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加快促进高标准科技服务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精准化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服务。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运用通用人工智能技术赋能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运营管理，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建立企业入驻、政策申报等“科创湾”一体化服务平台，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实现政务事项、企业服务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等平台化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办理，打造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营商环境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国内一流的智慧园区。建立人工智能AI平台，为入驻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的企业提供AI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智能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管家服务，根据企业条件自动匹配适宜落地的园区、合作的项目、享受的政策等，帮助企业定制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精准化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服务方案。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提供全方位服务。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高标准建设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物理场所，提供拎包入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的办公场地。面向国内外遴选一流的物业服务机构，承接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物业管理工作，为企业落户园区提供优质物业服务，营造“芜优”创业空间。链接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优质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律师事务所、会计师事务所等资源，为企业提供法务、财务等专业服务。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为入驻园区企业免费提供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产业动态监测与分析、产业技术与成果推荐、科技文献查阅与下载、产品样本与图纸下载等科技文献共享服务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支持各类主体在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建设专业化服务机构，提升技术交易、知识产权评价等专业服务水平。根据企业发展需求，对符合条件的科创型企业需要购置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内办公用房的，按照成本价购买；需要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在我市范围内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地的，在符合国土空间规划前提下，优先使用增减挂钩指标保障项目用地。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提供全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周期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服务。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聚焦企业创新发展关键环节，构建“项目甄选—人才招引—基金支持”和“概念验证—中试服务—场景应用—产业化”服务体系。密切关注全球顶尖科学家、高校、科研机构最新成果，甄选与芜湖产业发展方向高度契合的科技成果，提供共享实验室、早期投资、CEO团队匹配等多方面支持，引导更多优秀科技成果走出实验室，成为新产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七、配置优质产业政策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内各类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企业和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按规定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享受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省、市现有产业科技和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人才政策。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支持企业加大研发投入。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围绕企业创新创业需求，支持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内的企业围绕发展需要，购买与研究开发、检验检测、技术转移、科技咨询等相关科技服务，按实际支付购买科技服务费用总额的50%比例给予补助，每家企业每年补助资金不超过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0万元。对入驻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的科技型企业，给予每年最高3.5万元租金补贴，最长不超过3年。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加强应用场景对接。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持续推进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场景创新应用行动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常态化协助企业对接应用场景，支持企业与产业链上下游企业、高校院所、金融机构等协同合作，围绕研发创新、原材料供应、关键零部件制造、资金支持等方面开展深度对接，促进产业链“补链、延链、强链”，提升产业链黏性，吸引更多成果在芜转化、更多企业在芜发展、更多人才在芜湖创新创业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）加强创新创业载体建设。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支持企业在“科创湾”内建设科技企业孵化器、众创空间等载体，围绕初创型企业、人才团队等发展需求，探索“超前孵化”“孵投联动”新模式，精准招引优质项目在孵化器内落地转化，链接金融市场力量赋能企业发展壮大。对新认定的国家级、省级科技企业孵化器（众创空间）分别给予100（50）万元、50（30）万元一次性奖励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鼓励各类人才创新创业。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持续举办各类创新创业大赛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、创业培训、项目路演等活动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初创企业和各类人才寻觅、匹配优质创新资源，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对市级以上大赛获奖项目在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内落地转化的，给予最高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0万元补贴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。对于各类人才创办的科技型企业，符合条件的给予上市奖励或回购奖励，上市奖励为按照不超过扶持资金形成权益的50%奖励给企业，回购奖励为企业有权按照投资本金及退出协议签署日同期 LPR计算的资金使用成本回购扶持资金所占不超过50%的股权。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创新金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融模式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组建</w:t>
      </w:r>
      <w:r>
        <w:rPr>
          <w:rFonts w:hint="eastAsia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专项基金。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成立规模30亿元的芜湖市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建设母基金，由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平台公司运营管理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面向优质科技成果、高科技项目和创新型企业进行“直投”“跟投”。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根据产业发展需求，联合全球合伙人、投资机构等设立投资子基金，实现园区基金全覆盖。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鼓励投早投小投科技。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发挥政府投资基金引导作用，吸引社会资本参与，扩大政府投资基金规模效应，对政府投资基金实行尽职免责，采用整体性测算和阶段性评估，给予最高50%的风险容忍度。对社会投资机构投资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内早期科技型企业，持股超过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单个投资金额不超过500万元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，在退出时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如发生亏损，按亏损额的50%给予补助，每家投资机构每年累计补助金额最高500万元。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（三）支持企业拓宽融资渠道。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对需要银行信贷支持的企业，纳入银证担体系和共同成长计划，同时鼓励金融机构在商标专用权、专利权质押融资、企业贷款授信等方面，开发满足企业需要的金融产品。对“科创湾”内符合条件的企业，给予上市绿色通道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、保障措施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由市创新委统筹全市“科创湾”建设运营和科技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企业引育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市科技局做好具体组织协调等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:u w:val="none"/>
          <w14:textFill>
            <w14:solidFill>
              <w14:schemeClr w14:val="tx1"/>
            </w14:solidFill>
          </w14:textFill>
        </w:rPr>
        <w:t>加强与市委人才局、市投促中心、市人社局等部门的联动。各相关单位明确“一把手”抓科技招商的工作机制，强化研究部署，制定目标任务，构建跨部门协同机制，形成工作合力。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 w:eastAsia="zh-CN"/>
          <w14:textFill>
            <w14:solidFill>
              <w14:schemeClr w14:val="tx1"/>
            </w14:solidFill>
          </w14:textFill>
        </w:rPr>
        <w:t>提供资金支持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市财政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出资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设立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30亿元“科创湾”建设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专项资金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建设，重点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园区建设运营、创新创业、成果转化、企业发展、人才引进等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方面予以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资金保障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强化政策保障。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本方案有关政策适用于在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内首次登记的各类市场主体，以及为其提供服务和支撑的高校院所、服务机构及社会组织。本办法涉及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省、市现有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政策按规定兑现，其他政策奖补资金从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建设专项资金中列支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。鼓励各载体单位结合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建设实际，围绕相关细分领域发展需要，出台专项政策，构建“1+N”的政策保障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提升“科创湾”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品牌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影响力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标识，加强对外宣传，开展各类推介活动，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吸引国内外优秀人才参与，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“科创湾”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在国内外的影响力。举办创新创业大赛、路演展示、创业沙龙等活动，提高企业、团队、科研院所等主体参与度，激发品牌活力。</w:t>
      </w:r>
    </w:p>
    <w:sectPr>
      <w:footerReference r:id="rId3" w:type="default"/>
      <w:pgSz w:w="11906" w:h="16838"/>
      <w:pgMar w:top="1587" w:right="1701" w:bottom="158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jQ2NzRjZjAxNDFkZTJhNTZmYWNkMzdjNmIzMDUifQ=="/>
  </w:docVars>
  <w:rsids>
    <w:rsidRoot w:val="00000000"/>
    <w:rsid w:val="00BC360D"/>
    <w:rsid w:val="00D22EAF"/>
    <w:rsid w:val="07F64279"/>
    <w:rsid w:val="0D0625E3"/>
    <w:rsid w:val="0EDE4D82"/>
    <w:rsid w:val="11D71CA8"/>
    <w:rsid w:val="12224D50"/>
    <w:rsid w:val="13651FD7"/>
    <w:rsid w:val="16AA643D"/>
    <w:rsid w:val="16DB1192"/>
    <w:rsid w:val="17247BFC"/>
    <w:rsid w:val="19E67B09"/>
    <w:rsid w:val="1A5E77AF"/>
    <w:rsid w:val="1A7F3F7B"/>
    <w:rsid w:val="1DC2741E"/>
    <w:rsid w:val="1E752C0E"/>
    <w:rsid w:val="1F802619"/>
    <w:rsid w:val="27B00FDA"/>
    <w:rsid w:val="28876F6E"/>
    <w:rsid w:val="2C413D8B"/>
    <w:rsid w:val="3324253C"/>
    <w:rsid w:val="33F316A8"/>
    <w:rsid w:val="345B1705"/>
    <w:rsid w:val="37E07842"/>
    <w:rsid w:val="38B87F32"/>
    <w:rsid w:val="3AA716BF"/>
    <w:rsid w:val="3B6C3370"/>
    <w:rsid w:val="3E7F67E4"/>
    <w:rsid w:val="3F3968CC"/>
    <w:rsid w:val="4A4B623C"/>
    <w:rsid w:val="4B140BA8"/>
    <w:rsid w:val="4BB05C77"/>
    <w:rsid w:val="4CC402BC"/>
    <w:rsid w:val="4E453A8D"/>
    <w:rsid w:val="4F801BAC"/>
    <w:rsid w:val="512C2F2E"/>
    <w:rsid w:val="54561DC9"/>
    <w:rsid w:val="568D1545"/>
    <w:rsid w:val="58637150"/>
    <w:rsid w:val="59AF323A"/>
    <w:rsid w:val="5B0312A9"/>
    <w:rsid w:val="62BF6990"/>
    <w:rsid w:val="67D96B8B"/>
    <w:rsid w:val="697A5B25"/>
    <w:rsid w:val="6CB83252"/>
    <w:rsid w:val="6E385AF4"/>
    <w:rsid w:val="73B63297"/>
    <w:rsid w:val="765D5CBD"/>
    <w:rsid w:val="77E83881"/>
    <w:rsid w:val="78077B5C"/>
    <w:rsid w:val="781876D7"/>
    <w:rsid w:val="786177BC"/>
    <w:rsid w:val="7A5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b/>
      <w:bCs/>
      <w:kern w:val="2"/>
      <w:sz w:val="36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  <w:style w:type="paragraph" w:styleId="8">
    <w:name w:val="Body Text First Indent"/>
    <w:basedOn w:val="3"/>
    <w:qFormat/>
    <w:uiPriority w:val="0"/>
    <w:pPr>
      <w:spacing w:after="0"/>
      <w:ind w:firstLine="420" w:firstLineChars="1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style0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5206</Words>
  <Characters>5271</Characters>
  <Lines>0</Lines>
  <Paragraphs>0</Paragraphs>
  <TotalTime>173</TotalTime>
  <ScaleCrop>false</ScaleCrop>
  <LinksUpToDate>false</LinksUpToDate>
  <CharactersWithSpaces>5273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2024-06-17T08:21:00Z</dcterms:created>
  <dc:creator>Administrator</dc:creator>
  <cp:lastModifiedBy>Administrator</cp:lastModifiedBy>
  <cp:lastPrinted>2024-07-01T08:34:00Z</cp:lastPrinted>
  <dcterms:modified xsi:type="dcterms:W3CDTF">2024-07-01T11:30:27Z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092F5FFA17914DB5805AE222C67A0256_13</vt:lpwstr>
  </property>
</Properties>
</file>